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A9ACAF">
      <w:pPr>
        <w:ind w:left="0" w:leftChars="0" w:firstLine="0" w:firstLineChars="0"/>
        <w:jc w:val="center"/>
        <w:rPr>
          <w:rFonts w:hint="eastAsia" w:ascii="黑体" w:hAnsi="黑体" w:eastAsia="黑体" w:cs="黑体"/>
          <w:i w:val="0"/>
          <w:iCs w:val="0"/>
          <w:caps w:val="0"/>
          <w:color w:val="000000"/>
          <w:spacing w:val="0"/>
          <w:sz w:val="40"/>
          <w:szCs w:val="40"/>
          <w:shd w:val="clear" w:fill="FFFFFF"/>
        </w:rPr>
      </w:pPr>
      <w:bookmarkStart w:id="0" w:name="_GoBack"/>
      <w:r>
        <w:rPr>
          <w:rFonts w:hint="eastAsia" w:ascii="黑体" w:hAnsi="黑体" w:eastAsia="黑体" w:cs="黑体"/>
          <w:i w:val="0"/>
          <w:iCs w:val="0"/>
          <w:caps w:val="0"/>
          <w:color w:val="000000"/>
          <w:spacing w:val="0"/>
          <w:sz w:val="40"/>
          <w:szCs w:val="40"/>
          <w:shd w:val="clear" w:fill="FFFFFF"/>
        </w:rPr>
        <w:t>安徽合力股份有限公司配件分公司引进木箱供应商项目中标候选人公示</w:t>
      </w:r>
    </w:p>
    <w:bookmarkEnd w:id="0"/>
    <w:p w14:paraId="2681FD01">
      <w:pPr>
        <w:pStyle w:val="2"/>
        <w:ind w:left="0" w:leftChars="0" w:firstLine="0" w:firstLineChars="0"/>
        <w:jc w:val="center"/>
        <w:rPr>
          <w:rFonts w:hint="eastAsia"/>
        </w:rPr>
      </w:pPr>
      <w:r>
        <w:rPr>
          <w:rFonts w:hint="eastAsia" w:ascii="仿宋_GB2312" w:hAnsi="仿宋_GB2312" w:eastAsia="仿宋_GB2312" w:cs="仿宋_GB2312"/>
          <w:i w:val="0"/>
          <w:iCs w:val="0"/>
          <w:caps w:val="0"/>
          <w:color w:val="000000"/>
          <w:spacing w:val="0"/>
          <w:sz w:val="32"/>
          <w:szCs w:val="32"/>
          <w:shd w:val="clear" w:fill="FFFFFF"/>
        </w:rPr>
        <w:t>发布时间：2026年02月02日</w:t>
      </w:r>
    </w:p>
    <w:p w14:paraId="28F5F883">
      <w:pPr>
        <w:ind w:left="0" w:leftChars="0" w:firstLine="0" w:firstLineChars="0"/>
        <w:jc w:val="both"/>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       安徽合力股份有限公司配件分公司引进木箱供应商项目（项目编号： 25AT47046709319）按照招标文件规定的评审方式，最终确定：   </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       第一入围候选供应商：全椒召龙木业有限公司;</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       第二入围候选供应商：合肥欣百达包装有限公司;</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       公示截止日期：2026年02月05日17时。公示期内，如对上述中标候选人存在疑问，可依据相关规定向代理机构提出异议。</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提出异议的渠道和方式：</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1、投标人提出异议应当提交书面函件。异议函应当包括但不限于下列内容：</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（1）异议人的名称、地址、联系人及联系电话；</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（2）被异议人名称；</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（3）异议项目的名称、编号；</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（4）异议事项；</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（5）相关请求和主张</w:t>
      </w:r>
      <w:r>
        <w:rPr>
          <w:rFonts w:hint="eastAsia" w:ascii="仿宋_GB2312" w:hAnsi="仿宋_GB2312" w:eastAsia="仿宋_GB2312" w:cs="仿宋_GB2312"/>
          <w:i w:val="0"/>
          <w:iCs w:val="0"/>
          <w:caps w:val="0"/>
          <w:color w:val="000000"/>
          <w:spacing w:val="0"/>
          <w:sz w:val="32"/>
          <w:szCs w:val="32"/>
          <w:shd w:val="clear" w:fill="FFFFFF"/>
        </w:rPr>
        <w:t>；</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（6）事实依据和证明材料；</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（7）法律依据；</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（8）异议应当署名。投标人(服务商)为自然人的，应当由本人签字；投标人为法人或者其他组织的，应当由法定代表人或者主要负责人签字并加盖单位公章。</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2、异议材料有下列情形的亦不予接收：</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（1）异议材料不完整的；</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（2）异议事项含有主观猜测等内容且无充分有效证据的；</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（3）对其他投标人(服务商)的投标文件详细内容异议，无法提供合法来源渠道的；</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（4）提出异议的时间超过国家法律法规规定时限的。</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异议人若以异议为名谋取中标或恶意异议扰乱招标工作秩序的，将报请行政监督部门处理。</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如公示期内无有效异议，本评审结果即为确定中标人的依据。</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代理机构: 安徽安天利信工程管理股份有限公司</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代理机构联系人：胡工</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代理机构联系电话：0551-63736770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Calibri Light">
    <w:panose1 w:val="020F0302020204030204"/>
    <w:charset w:val="00"/>
    <w:family w:val="auto"/>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